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CF" w:rsidRDefault="00AD15D9" w:rsidP="00AD15D9">
      <w:pPr>
        <w:jc w:val="center"/>
        <w:outlineLvl w:val="0"/>
        <w:rPr>
          <w:b/>
          <w:sz w:val="40"/>
          <w:szCs w:val="40"/>
        </w:rPr>
      </w:pPr>
      <w:r w:rsidRPr="00AD15D9">
        <w:rPr>
          <w:b/>
          <w:sz w:val="40"/>
          <w:szCs w:val="40"/>
        </w:rPr>
        <w:t>PROIECT DIDACTIC</w:t>
      </w:r>
    </w:p>
    <w:p w:rsidR="00AD15D9" w:rsidRPr="00AD15D9" w:rsidRDefault="00AD15D9" w:rsidP="00A34843">
      <w:pPr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AD15D9" w:rsidRDefault="00AD15D9" w:rsidP="00AD15D9">
      <w:pPr>
        <w:rPr>
          <w:sz w:val="28"/>
          <w:szCs w:val="28"/>
        </w:rPr>
      </w:pPr>
    </w:p>
    <w:p w:rsidR="00AD15D9" w:rsidRPr="00C5272F" w:rsidRDefault="00AD15D9" w:rsidP="00AD15D9">
      <w:pPr>
        <w:outlineLvl w:val="0"/>
        <w:rPr>
          <w:b/>
          <w:sz w:val="28"/>
          <w:szCs w:val="28"/>
          <w:lang w:val="ro-RO"/>
        </w:rPr>
      </w:pPr>
      <w:r w:rsidRPr="00AD15D9">
        <w:rPr>
          <w:b/>
          <w:sz w:val="28"/>
          <w:szCs w:val="28"/>
        </w:rPr>
        <w:t>Unitatea de învăţământ</w:t>
      </w:r>
      <w:r w:rsidRPr="00AD15D9">
        <w:rPr>
          <w:sz w:val="28"/>
          <w:szCs w:val="28"/>
        </w:rPr>
        <w:t>:</w:t>
      </w:r>
      <w:r w:rsidR="00C5272F">
        <w:rPr>
          <w:sz w:val="28"/>
          <w:szCs w:val="28"/>
        </w:rPr>
        <w:t xml:space="preserve"> LICEUL TEHNOLOGIC AGROMONTAN </w:t>
      </w:r>
      <w:r w:rsidR="00C5272F">
        <w:rPr>
          <w:sz w:val="28"/>
          <w:szCs w:val="28"/>
          <w:lang w:val="ro-RO"/>
        </w:rPr>
        <w:t>„Romeo Constantinescu” VĂLENII DE MUNTE PRAHOVA</w:t>
      </w:r>
      <w:r w:rsidR="00FD70E4">
        <w:rPr>
          <w:sz w:val="28"/>
          <w:szCs w:val="28"/>
          <w:lang w:val="ro-RO"/>
        </w:rPr>
        <w:t>/ ŞCOALA GIMNAZIALĂ „Traian Săvulescu” IZVOARELE</w:t>
      </w:r>
      <w:r w:rsidR="00A34843">
        <w:rPr>
          <w:sz w:val="28"/>
          <w:szCs w:val="28"/>
          <w:lang w:val="ro-RO"/>
        </w:rPr>
        <w:t>/ PRAHOVA</w:t>
      </w:r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Data</w:t>
      </w:r>
      <w:r w:rsidR="00C5272F">
        <w:rPr>
          <w:b/>
          <w:sz w:val="28"/>
          <w:szCs w:val="28"/>
          <w:lang w:val="it-IT"/>
        </w:rPr>
        <w:t xml:space="preserve">: </w:t>
      </w:r>
      <w:r w:rsidR="00F152E2">
        <w:rPr>
          <w:b/>
          <w:sz w:val="28"/>
          <w:szCs w:val="28"/>
          <w:lang w:val="it-IT"/>
        </w:rPr>
        <w:t>4.12.2015</w:t>
      </w:r>
    </w:p>
    <w:p w:rsidR="00AD15D9" w:rsidRPr="00AD15D9" w:rsidRDefault="00AD15D9" w:rsidP="00AD15D9">
      <w:pPr>
        <w:rPr>
          <w:b/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Clasa</w:t>
      </w:r>
      <w:r w:rsidR="00C5272F">
        <w:rPr>
          <w:b/>
          <w:sz w:val="28"/>
          <w:szCs w:val="28"/>
          <w:lang w:val="it-IT"/>
        </w:rPr>
        <w:t xml:space="preserve"> pregătitoare</w:t>
      </w:r>
      <w:r w:rsidR="00FD70E4">
        <w:rPr>
          <w:b/>
          <w:sz w:val="28"/>
          <w:szCs w:val="28"/>
          <w:lang w:val="it-IT"/>
        </w:rPr>
        <w:t>/Clasa a IV-a</w:t>
      </w:r>
    </w:p>
    <w:p w:rsidR="00FD70E4" w:rsidRDefault="00FD70E4" w:rsidP="00AD15D9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Propună</w:t>
      </w:r>
      <w:r w:rsidR="00AD15D9" w:rsidRPr="00AD15D9">
        <w:rPr>
          <w:b/>
          <w:sz w:val="28"/>
          <w:szCs w:val="28"/>
          <w:lang w:val="it-IT"/>
        </w:rPr>
        <w:t>tor</w:t>
      </w:r>
      <w:r>
        <w:rPr>
          <w:b/>
          <w:sz w:val="28"/>
          <w:szCs w:val="28"/>
          <w:lang w:val="it-IT"/>
        </w:rPr>
        <w:t>i</w:t>
      </w:r>
      <w:r w:rsidR="00AD15D9" w:rsidRPr="00AD15D9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prof.înv.primar </w:t>
      </w:r>
      <w:r w:rsidR="00AD15D9" w:rsidRPr="00AD15D9">
        <w:rPr>
          <w:sz w:val="28"/>
          <w:szCs w:val="28"/>
          <w:lang w:val="it-IT"/>
        </w:rPr>
        <w:t xml:space="preserve"> </w:t>
      </w:r>
      <w:r w:rsidR="005F738B">
        <w:rPr>
          <w:sz w:val="28"/>
          <w:szCs w:val="28"/>
          <w:lang w:val="it-IT"/>
        </w:rPr>
        <w:t>IORDACHE CRISTINA</w:t>
      </w:r>
    </w:p>
    <w:p w:rsidR="00AD15D9" w:rsidRPr="00AD15D9" w:rsidRDefault="00FD70E4" w:rsidP="00AD15D9">
      <w:pPr>
        <w:rPr>
          <w:sz w:val="28"/>
          <w:szCs w:val="28"/>
          <w:u w:val="single"/>
          <w:lang w:val="it-IT"/>
        </w:rPr>
      </w:pPr>
      <w:r>
        <w:rPr>
          <w:sz w:val="28"/>
          <w:szCs w:val="28"/>
          <w:lang w:val="it-IT"/>
        </w:rPr>
        <w:t xml:space="preserve">                      </w:t>
      </w:r>
      <w:r w:rsidR="00C5272F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prof.înv.primar </w:t>
      </w:r>
      <w:r w:rsidRPr="00AD15D9">
        <w:rPr>
          <w:sz w:val="28"/>
          <w:szCs w:val="28"/>
          <w:lang w:val="it-IT"/>
        </w:rPr>
        <w:t xml:space="preserve"> </w:t>
      </w:r>
      <w:r w:rsidR="00C5272F">
        <w:rPr>
          <w:sz w:val="28"/>
          <w:szCs w:val="28"/>
          <w:lang w:val="it-IT"/>
        </w:rPr>
        <w:t>JOIŢA ANCA</w:t>
      </w:r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Disciplina:</w:t>
      </w:r>
      <w:r w:rsidRPr="00AD15D9">
        <w:rPr>
          <w:sz w:val="28"/>
          <w:szCs w:val="28"/>
          <w:lang w:val="it-IT"/>
        </w:rPr>
        <w:t xml:space="preserve"> </w:t>
      </w:r>
      <w:r w:rsidR="00E83F2D">
        <w:rPr>
          <w:sz w:val="28"/>
          <w:szCs w:val="28"/>
          <w:lang w:val="it-IT"/>
        </w:rPr>
        <w:tab/>
        <w:t xml:space="preserve">Educaţie </w:t>
      </w:r>
      <w:r w:rsidR="005F738B">
        <w:rPr>
          <w:sz w:val="28"/>
          <w:szCs w:val="28"/>
          <w:lang w:val="it-IT"/>
        </w:rPr>
        <w:t>f</w:t>
      </w:r>
      <w:r w:rsidR="00C5272F">
        <w:rPr>
          <w:sz w:val="28"/>
          <w:szCs w:val="28"/>
          <w:lang w:val="it-IT"/>
        </w:rPr>
        <w:t xml:space="preserve">inanciară </w:t>
      </w:r>
    </w:p>
    <w:p w:rsidR="00C5272F" w:rsidRPr="00C5272F" w:rsidRDefault="00AD15D9" w:rsidP="00C5272F">
      <w:pPr>
        <w:spacing w:line="360" w:lineRule="auto"/>
        <w:jc w:val="both"/>
        <w:rPr>
          <w:rFonts w:ascii="Cambria" w:hAnsi="Cambria"/>
          <w:b/>
          <w:lang w:val="fr-FR"/>
        </w:rPr>
      </w:pPr>
      <w:r w:rsidRPr="00AD15D9">
        <w:rPr>
          <w:b/>
          <w:sz w:val="28"/>
          <w:szCs w:val="28"/>
          <w:lang w:val="pt-BR"/>
        </w:rPr>
        <w:t>Subiectul lecţiei</w:t>
      </w:r>
      <w:r w:rsidRPr="00AD15D9">
        <w:rPr>
          <w:sz w:val="28"/>
          <w:szCs w:val="28"/>
          <w:lang w:val="pt-BR"/>
        </w:rPr>
        <w:t>:</w:t>
      </w:r>
      <w:r w:rsidR="00C5272F">
        <w:rPr>
          <w:sz w:val="28"/>
          <w:szCs w:val="28"/>
          <w:lang w:val="pt-BR"/>
        </w:rPr>
        <w:t xml:space="preserve"> </w:t>
      </w:r>
      <w:r w:rsidR="00C5272F" w:rsidRPr="00C5272F">
        <w:rPr>
          <w:rFonts w:ascii="Cambria" w:hAnsi="Cambria"/>
          <w:b/>
        </w:rPr>
        <w:t>“Trocul- activitate  utilă</w:t>
      </w:r>
      <w:r w:rsidR="00C5272F" w:rsidRPr="00C5272F">
        <w:rPr>
          <w:rFonts w:ascii="Cambria" w:hAnsi="Cambria"/>
          <w:b/>
          <w:lang w:val="ro-RO"/>
        </w:rPr>
        <w:t xml:space="preserve"> ce naşte  trăiri frumoase</w:t>
      </w:r>
      <w:r w:rsidR="00C5272F" w:rsidRPr="00C5272F">
        <w:rPr>
          <w:rFonts w:ascii="Cambria" w:hAnsi="Cambria"/>
          <w:b/>
        </w:rPr>
        <w:t xml:space="preserve"> ”</w:t>
      </w:r>
    </w:p>
    <w:p w:rsidR="00AD15D9" w:rsidRPr="00AD15D9" w:rsidRDefault="00AD15D9" w:rsidP="00AD15D9">
      <w:pPr>
        <w:rPr>
          <w:sz w:val="28"/>
          <w:szCs w:val="28"/>
          <w:lang w:val="pt-BR"/>
        </w:rPr>
      </w:pPr>
      <w:r w:rsidRPr="00AD15D9">
        <w:rPr>
          <w:b/>
          <w:sz w:val="28"/>
          <w:szCs w:val="28"/>
          <w:lang w:val="pt-BR"/>
        </w:rPr>
        <w:t>Tipul lecţiei</w:t>
      </w:r>
      <w:r w:rsidRPr="00AD15D9">
        <w:rPr>
          <w:sz w:val="28"/>
          <w:szCs w:val="28"/>
          <w:lang w:val="pt-BR"/>
        </w:rPr>
        <w:t>:</w:t>
      </w:r>
      <w:r w:rsidR="00C5272F">
        <w:rPr>
          <w:sz w:val="28"/>
          <w:szCs w:val="28"/>
          <w:lang w:val="pt-BR"/>
        </w:rPr>
        <w:t xml:space="preserve"> </w:t>
      </w:r>
      <w:r w:rsidR="00203A36">
        <w:rPr>
          <w:sz w:val="28"/>
          <w:szCs w:val="28"/>
          <w:lang w:val="pt-BR"/>
        </w:rPr>
        <w:t>mixtă</w:t>
      </w:r>
    </w:p>
    <w:p w:rsidR="00B00F2E" w:rsidRDefault="00AD15D9" w:rsidP="00DB5C58">
      <w:pPr>
        <w:pStyle w:val="NoSpacing"/>
        <w:spacing w:line="360" w:lineRule="auto"/>
        <w:rPr>
          <w:color w:val="800080"/>
          <w:sz w:val="28"/>
          <w:szCs w:val="28"/>
          <w:lang w:val="ro-RO"/>
        </w:rPr>
      </w:pPr>
      <w:r w:rsidRPr="00AD15D9">
        <w:rPr>
          <w:sz w:val="28"/>
          <w:szCs w:val="28"/>
          <w:lang w:val="pt-BR"/>
        </w:rPr>
        <w:t xml:space="preserve"> </w:t>
      </w:r>
      <w:r w:rsidRPr="00AD15D9">
        <w:rPr>
          <w:b/>
          <w:sz w:val="28"/>
          <w:szCs w:val="28"/>
          <w:lang w:val="ro-RO"/>
        </w:rPr>
        <w:t>Scopul:</w:t>
      </w:r>
      <w:r w:rsidRPr="00AD15D9">
        <w:rPr>
          <w:color w:val="800080"/>
          <w:sz w:val="28"/>
          <w:szCs w:val="28"/>
          <w:lang w:val="ro-RO"/>
        </w:rPr>
        <w:t xml:space="preserve"> </w:t>
      </w:r>
      <w:r w:rsidR="00203A36">
        <w:rPr>
          <w:color w:val="800080"/>
          <w:sz w:val="28"/>
          <w:szCs w:val="28"/>
          <w:lang w:val="ro-RO"/>
        </w:rPr>
        <w:t xml:space="preserve"> </w:t>
      </w:r>
    </w:p>
    <w:p w:rsidR="00DB5C58" w:rsidRDefault="00DB5C58" w:rsidP="00DB5C5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9D434A">
        <w:rPr>
          <w:rFonts w:ascii="Times New Roman" w:hAnsi="Times New Roman"/>
          <w:sz w:val="24"/>
          <w:szCs w:val="24"/>
          <w:lang w:val="ro-RO"/>
        </w:rPr>
        <w:t>Formarea şi dezvoltarea unui comportament deschis, liber, responsabil, tolerant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AD15D9" w:rsidRPr="00AD15D9" w:rsidRDefault="00DB5C58" w:rsidP="00E83F2D">
      <w:pPr>
        <w:pStyle w:val="NoSpacing"/>
        <w:spacing w:line="360" w:lineRule="auto"/>
        <w:rPr>
          <w:b/>
          <w:bCs/>
          <w:sz w:val="28"/>
          <w:szCs w:val="28"/>
          <w:lang w:val="es-ES"/>
        </w:rPr>
      </w:pPr>
      <w:r>
        <w:rPr>
          <w:rFonts w:ascii="Times New Roman" w:hAnsi="Times New Roman"/>
          <w:sz w:val="24"/>
          <w:szCs w:val="24"/>
          <w:lang w:val="ro-RO"/>
        </w:rPr>
        <w:t>În</w:t>
      </w:r>
      <w:r w:rsidR="00A34843">
        <w:rPr>
          <w:rFonts w:ascii="Times New Roman" w:hAnsi="Times New Roman"/>
          <w:sz w:val="24"/>
          <w:szCs w:val="24"/>
          <w:lang w:val="ro-RO"/>
        </w:rPr>
        <w:t xml:space="preserve">suşirea </w:t>
      </w:r>
      <w:r>
        <w:rPr>
          <w:rFonts w:ascii="Times New Roman" w:hAnsi="Times New Roman"/>
          <w:sz w:val="24"/>
          <w:szCs w:val="24"/>
          <w:lang w:val="ro-RO"/>
        </w:rPr>
        <w:t xml:space="preserve"> noţiunii de „troc”</w:t>
      </w:r>
    </w:p>
    <w:p w:rsidR="00AD15D9" w:rsidRPr="00AD15D9" w:rsidRDefault="00AD15D9" w:rsidP="00AD15D9">
      <w:pPr>
        <w:outlineLvl w:val="0"/>
        <w:rPr>
          <w:sz w:val="28"/>
          <w:szCs w:val="28"/>
          <w:lang w:val="es-ES"/>
        </w:rPr>
      </w:pPr>
      <w:proofErr w:type="spellStart"/>
      <w:r w:rsidRPr="00AD15D9">
        <w:rPr>
          <w:b/>
          <w:bCs/>
          <w:sz w:val="28"/>
          <w:szCs w:val="28"/>
          <w:lang w:val="es-ES"/>
        </w:rPr>
        <w:t>Obiective</w:t>
      </w:r>
      <w:proofErr w:type="spellEnd"/>
      <w:r w:rsidRPr="00AD15D9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AD15D9">
        <w:rPr>
          <w:b/>
          <w:bCs/>
          <w:sz w:val="28"/>
          <w:szCs w:val="28"/>
          <w:lang w:val="es-ES"/>
        </w:rPr>
        <w:t>operaţionale</w:t>
      </w:r>
      <w:proofErr w:type="spellEnd"/>
      <w:r w:rsidR="00C5272F">
        <w:rPr>
          <w:b/>
          <w:bCs/>
          <w:sz w:val="28"/>
          <w:szCs w:val="28"/>
          <w:lang w:val="es-ES"/>
        </w:rPr>
        <w:t xml:space="preserve">: </w:t>
      </w:r>
    </w:p>
    <w:p w:rsidR="00D8074C" w:rsidRPr="004C4FC8" w:rsidRDefault="00D8074C" w:rsidP="00D8074C">
      <w:pPr>
        <w:numPr>
          <w:ilvl w:val="0"/>
          <w:numId w:val="4"/>
        </w:numPr>
        <w:tabs>
          <w:tab w:val="left" w:pos="2610"/>
        </w:tabs>
        <w:suppressAutoHyphens w:val="0"/>
        <w:spacing w:line="360" w:lineRule="auto"/>
        <w:jc w:val="both"/>
      </w:pPr>
      <w:r w:rsidRPr="004C4FC8">
        <w:t>COGNITIVE</w:t>
      </w:r>
    </w:p>
    <w:p w:rsidR="00D8074C" w:rsidRDefault="00D8074C" w:rsidP="00D8074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44FF">
        <w:rPr>
          <w:rFonts w:ascii="Times New Roman" w:hAnsi="Times New Roman"/>
          <w:sz w:val="24"/>
          <w:szCs w:val="24"/>
        </w:rPr>
        <w:t xml:space="preserve">OC1: </w:t>
      </w:r>
      <w:r w:rsidRPr="00D8074C">
        <w:rPr>
          <w:rFonts w:ascii="Times New Roman" w:hAnsi="Times New Roman"/>
          <w:sz w:val="24"/>
          <w:szCs w:val="24"/>
        </w:rPr>
        <w:t>să-şi exprime părerea în legătură cu alegerea materialelor folosite  ca suport în  tehnica pictu</w:t>
      </w:r>
      <w:r>
        <w:rPr>
          <w:rFonts w:ascii="Times New Roman" w:hAnsi="Times New Roman"/>
          <w:sz w:val="24"/>
          <w:szCs w:val="24"/>
        </w:rPr>
        <w:t>rii cu  ciocolată /acuarele ;</w:t>
      </w:r>
    </w:p>
    <w:p w:rsidR="00D8074C" w:rsidRPr="00B744FF" w:rsidRDefault="00D8074C" w:rsidP="00D8074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7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OC2</w:t>
      </w:r>
      <w:r w:rsidRPr="00C87B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să participe la jocurile de cunoaştere şi autocunoaştere</w:t>
      </w:r>
      <w:r w:rsidRPr="00C87B67">
        <w:rPr>
          <w:rFonts w:ascii="Times New Roman" w:hAnsi="Times New Roman"/>
          <w:sz w:val="24"/>
          <w:szCs w:val="24"/>
        </w:rPr>
        <w:t>;</w:t>
      </w:r>
    </w:p>
    <w:p w:rsidR="00D8074C" w:rsidRDefault="00D8074C" w:rsidP="00D8074C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OC3</w:t>
      </w:r>
      <w:r w:rsidRPr="005760C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să descopere reţete de obţinere a glazurii de ciocolată;</w:t>
      </w:r>
    </w:p>
    <w:p w:rsidR="00D8074C" w:rsidRPr="008D3DAB" w:rsidRDefault="00D8074C" w:rsidP="00D8074C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OC4</w:t>
      </w:r>
      <w:r w:rsidRPr="008D3DAB">
        <w:rPr>
          <w:rFonts w:ascii="Times New Roman" w:hAnsi="Times New Roman"/>
          <w:sz w:val="24"/>
          <w:szCs w:val="24"/>
        </w:rPr>
        <w:t xml:space="preserve"> : să găsească </w:t>
      </w:r>
      <w:r>
        <w:rPr>
          <w:rFonts w:ascii="Times New Roman" w:hAnsi="Times New Roman"/>
          <w:sz w:val="24"/>
          <w:szCs w:val="24"/>
        </w:rPr>
        <w:t xml:space="preserve">1-2 </w:t>
      </w:r>
      <w:r w:rsidRPr="008D3DAB">
        <w:rPr>
          <w:rFonts w:ascii="Times New Roman" w:hAnsi="Times New Roman"/>
          <w:sz w:val="24"/>
          <w:szCs w:val="24"/>
        </w:rPr>
        <w:t xml:space="preserve">expresii în care se regăseşte cuvântul </w:t>
      </w:r>
      <w:r>
        <w:rPr>
          <w:rFonts w:ascii="Times New Roman" w:hAnsi="Times New Roman"/>
          <w:sz w:val="24"/>
          <w:szCs w:val="24"/>
        </w:rPr>
        <w:t>sfoară/</w:t>
      </w:r>
      <w:r w:rsidRPr="008D3DAB">
        <w:rPr>
          <w:rFonts w:ascii="Times New Roman" w:hAnsi="Times New Roman"/>
          <w:sz w:val="24"/>
          <w:szCs w:val="24"/>
        </w:rPr>
        <w:t>ciocolată;</w:t>
      </w:r>
    </w:p>
    <w:p w:rsidR="00D8074C" w:rsidRDefault="00D8074C" w:rsidP="00D8074C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OC5: </w:t>
      </w:r>
      <w:r w:rsidRPr="00D805DA">
        <w:rPr>
          <w:rFonts w:ascii="Times New Roman" w:hAnsi="Times New Roman"/>
          <w:sz w:val="24"/>
          <w:szCs w:val="24"/>
        </w:rPr>
        <w:t>să exemplifice situa</w:t>
      </w:r>
      <w:r w:rsidRPr="00D805DA">
        <w:rPr>
          <w:rFonts w:ascii="Times New Roman"/>
          <w:sz w:val="24"/>
          <w:szCs w:val="24"/>
        </w:rPr>
        <w:t>ț</w:t>
      </w:r>
      <w:r w:rsidRPr="00D805DA">
        <w:rPr>
          <w:rFonts w:ascii="Times New Roman" w:hAnsi="Times New Roman"/>
          <w:sz w:val="24"/>
          <w:szCs w:val="24"/>
        </w:rPr>
        <w:t>ii în care ei sau persoane cunoscute</w:t>
      </w:r>
      <w:r>
        <w:rPr>
          <w:rFonts w:ascii="Times New Roman" w:hAnsi="Times New Roman"/>
          <w:sz w:val="24"/>
          <w:szCs w:val="24"/>
        </w:rPr>
        <w:t xml:space="preserve"> pot folosi tehnica picturii cu ciocolată </w:t>
      </w:r>
    </w:p>
    <w:p w:rsidR="00D8074C" w:rsidRPr="005760C9" w:rsidRDefault="00D8074C" w:rsidP="00D8074C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OC6: </w:t>
      </w:r>
      <w:r w:rsidRPr="00D805DA">
        <w:rPr>
          <w:rFonts w:ascii="Times New Roman" w:hAnsi="Times New Roman"/>
          <w:sz w:val="24"/>
          <w:szCs w:val="24"/>
        </w:rPr>
        <w:t>să exemplifice situa</w:t>
      </w:r>
      <w:r w:rsidRPr="00D805DA">
        <w:rPr>
          <w:rFonts w:ascii="Times New Roman"/>
          <w:sz w:val="24"/>
          <w:szCs w:val="24"/>
        </w:rPr>
        <w:t>ț</w:t>
      </w:r>
      <w:r w:rsidRPr="00D805DA">
        <w:rPr>
          <w:rFonts w:ascii="Times New Roman" w:hAnsi="Times New Roman"/>
          <w:sz w:val="24"/>
          <w:szCs w:val="24"/>
        </w:rPr>
        <w:t>ii în care ei sau persoane cunoscute</w:t>
      </w:r>
      <w:r>
        <w:rPr>
          <w:rFonts w:ascii="Times New Roman" w:hAnsi="Times New Roman"/>
          <w:sz w:val="24"/>
          <w:szCs w:val="24"/>
        </w:rPr>
        <w:t xml:space="preserve"> pot folosi tehnica decorării unui produs textil.</w:t>
      </w:r>
    </w:p>
    <w:p w:rsidR="00D8074C" w:rsidRPr="00D805DA" w:rsidRDefault="00D8074C" w:rsidP="00D8074C">
      <w:pPr>
        <w:numPr>
          <w:ilvl w:val="0"/>
          <w:numId w:val="4"/>
        </w:numPr>
        <w:tabs>
          <w:tab w:val="left" w:pos="2610"/>
        </w:tabs>
        <w:suppressAutoHyphens w:val="0"/>
        <w:spacing w:line="360" w:lineRule="auto"/>
        <w:jc w:val="both"/>
      </w:pPr>
      <w:r w:rsidRPr="00D805DA">
        <w:lastRenderedPageBreak/>
        <w:t>PSIHOMOTORII</w:t>
      </w:r>
    </w:p>
    <w:p w:rsidR="00D8074C" w:rsidRPr="00D805DA" w:rsidRDefault="00D8074C" w:rsidP="00D8074C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805DA">
        <w:rPr>
          <w:rFonts w:ascii="Times New Roman" w:hAnsi="Times New Roman"/>
          <w:sz w:val="24"/>
          <w:szCs w:val="24"/>
          <w:lang w:val="ro-RO"/>
        </w:rPr>
        <w:t>OM1: să-şi adapteze corect poziţia (la tablă, în bancă</w:t>
      </w:r>
      <w:r>
        <w:rPr>
          <w:rFonts w:ascii="Times New Roman" w:hAnsi="Times New Roman"/>
          <w:sz w:val="24"/>
          <w:szCs w:val="24"/>
          <w:lang w:val="ro-RO"/>
        </w:rPr>
        <w:t>, în timpul ornării cu glazură de ciocolată, a decorării suportului de creioane</w:t>
      </w:r>
      <w:r w:rsidRPr="00D805DA">
        <w:rPr>
          <w:rFonts w:ascii="Times New Roman" w:hAnsi="Times New Roman"/>
          <w:sz w:val="24"/>
          <w:szCs w:val="24"/>
          <w:lang w:val="ro-RO"/>
        </w:rPr>
        <w:t>)</w:t>
      </w:r>
    </w:p>
    <w:p w:rsidR="00D8074C" w:rsidRPr="00D805DA" w:rsidRDefault="00D8074C" w:rsidP="00D8074C">
      <w:pPr>
        <w:tabs>
          <w:tab w:val="left" w:pos="2610"/>
        </w:tabs>
        <w:spacing w:line="360" w:lineRule="auto"/>
        <w:ind w:left="360"/>
        <w:jc w:val="both"/>
      </w:pPr>
    </w:p>
    <w:p w:rsidR="00D8074C" w:rsidRPr="00D805DA" w:rsidRDefault="00D8074C" w:rsidP="00D8074C">
      <w:pPr>
        <w:numPr>
          <w:ilvl w:val="0"/>
          <w:numId w:val="4"/>
        </w:numPr>
        <w:tabs>
          <w:tab w:val="left" w:pos="2610"/>
        </w:tabs>
        <w:suppressAutoHyphens w:val="0"/>
        <w:spacing w:line="360" w:lineRule="auto"/>
        <w:jc w:val="both"/>
      </w:pPr>
      <w:r w:rsidRPr="00D805DA">
        <w:t>AFECTIVE</w:t>
      </w:r>
    </w:p>
    <w:p w:rsidR="00D8074C" w:rsidRDefault="00D8074C" w:rsidP="00D8074C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805DA">
        <w:rPr>
          <w:rFonts w:ascii="Times New Roman" w:hAnsi="Times New Roman"/>
          <w:sz w:val="24"/>
          <w:szCs w:val="24"/>
          <w:lang w:val="ro-RO"/>
        </w:rPr>
        <w:t>OA1:</w:t>
      </w:r>
      <w:r>
        <w:rPr>
          <w:rFonts w:ascii="Times New Roman" w:hAnsi="Times New Roman"/>
          <w:sz w:val="24"/>
          <w:szCs w:val="24"/>
          <w:lang w:val="ro-RO"/>
        </w:rPr>
        <w:t xml:space="preserve"> să-şi exprime sentimentele prin tehnica picturii cu ciocolată/ acuarele</w:t>
      </w:r>
      <w:r w:rsidRPr="00D805DA">
        <w:rPr>
          <w:rFonts w:ascii="Times New Roman" w:hAnsi="Times New Roman"/>
          <w:sz w:val="24"/>
          <w:szCs w:val="24"/>
          <w:lang w:val="ro-RO"/>
        </w:rPr>
        <w:t>;</w:t>
      </w:r>
    </w:p>
    <w:p w:rsidR="00D8074C" w:rsidRPr="00D805DA" w:rsidRDefault="00D8074C" w:rsidP="00D8074C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OA2: să participe activ, cu plăcere</w:t>
      </w:r>
      <w:r w:rsidRPr="00D805DA">
        <w:rPr>
          <w:rFonts w:ascii="Times New Roman" w:hAnsi="Times New Roman"/>
          <w:sz w:val="24"/>
          <w:szCs w:val="24"/>
          <w:lang w:val="ro-RO"/>
        </w:rPr>
        <w:t xml:space="preserve"> la lecţie;</w:t>
      </w:r>
    </w:p>
    <w:p w:rsidR="00D8074C" w:rsidRPr="00D805DA" w:rsidRDefault="00D8074C" w:rsidP="00D8074C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805DA">
        <w:rPr>
          <w:rFonts w:ascii="Times New Roman" w:hAnsi="Times New Roman"/>
          <w:sz w:val="24"/>
          <w:szCs w:val="24"/>
          <w:lang w:val="ro-RO"/>
        </w:rPr>
        <w:t>OA2: să colabore</w:t>
      </w:r>
      <w:r>
        <w:rPr>
          <w:rFonts w:ascii="Times New Roman" w:hAnsi="Times New Roman"/>
          <w:sz w:val="24"/>
          <w:szCs w:val="24"/>
          <w:lang w:val="ro-RO"/>
        </w:rPr>
        <w:t>ze cu toţi membrii echipei sale.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b/>
          <w:sz w:val="28"/>
          <w:szCs w:val="28"/>
          <w:lang w:val="ro-RO"/>
        </w:rPr>
        <w:t xml:space="preserve">Resurse 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>I. Metodologice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            </w:t>
      </w:r>
      <w:r w:rsidRPr="00AD15D9">
        <w:rPr>
          <w:b/>
          <w:i/>
          <w:sz w:val="28"/>
          <w:szCs w:val="28"/>
          <w:lang w:val="ro-RO"/>
        </w:rPr>
        <w:t>Strategii didactice</w:t>
      </w:r>
    </w:p>
    <w:p w:rsidR="0023333E" w:rsidRPr="0023333E" w:rsidRDefault="00AD15D9" w:rsidP="0023333E">
      <w:pPr>
        <w:tabs>
          <w:tab w:val="left" w:pos="720"/>
          <w:tab w:val="left" w:pos="1320"/>
        </w:tabs>
        <w:spacing w:line="360" w:lineRule="auto"/>
        <w:jc w:val="both"/>
        <w:rPr>
          <w:sz w:val="28"/>
          <w:szCs w:val="28"/>
        </w:rPr>
      </w:pPr>
      <w:r w:rsidRPr="0023333E">
        <w:rPr>
          <w:sz w:val="28"/>
          <w:szCs w:val="28"/>
        </w:rPr>
        <w:t xml:space="preserve">Metode şi procedee: </w:t>
      </w:r>
    </w:p>
    <w:p w:rsidR="0023333E" w:rsidRPr="00F13550" w:rsidRDefault="0023333E" w:rsidP="0023333E">
      <w:pPr>
        <w:pStyle w:val="ListParagraph"/>
        <w:numPr>
          <w:ilvl w:val="0"/>
          <w:numId w:val="1"/>
        </w:numPr>
        <w:tabs>
          <w:tab w:val="left" w:pos="720"/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550">
        <w:rPr>
          <w:rFonts w:ascii="Times New Roman" w:hAnsi="Times New Roman"/>
          <w:sz w:val="24"/>
          <w:szCs w:val="24"/>
        </w:rPr>
        <w:t>Conversaţia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33E" w:rsidRPr="00F13550" w:rsidRDefault="0023333E" w:rsidP="0023333E">
      <w:pPr>
        <w:pStyle w:val="ListParagraph"/>
        <w:numPr>
          <w:ilvl w:val="0"/>
          <w:numId w:val="1"/>
        </w:numPr>
        <w:tabs>
          <w:tab w:val="left" w:pos="720"/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550">
        <w:rPr>
          <w:rFonts w:ascii="Times New Roman" w:hAnsi="Times New Roman"/>
          <w:sz w:val="24"/>
          <w:szCs w:val="24"/>
        </w:rPr>
        <w:t xml:space="preserve">Explicaţia </w:t>
      </w:r>
    </w:p>
    <w:p w:rsidR="0023333E" w:rsidRPr="00F13550" w:rsidRDefault="0023333E" w:rsidP="0023333E">
      <w:pPr>
        <w:pStyle w:val="ListParagraph"/>
        <w:numPr>
          <w:ilvl w:val="0"/>
          <w:numId w:val="1"/>
        </w:numPr>
        <w:tabs>
          <w:tab w:val="left" w:pos="720"/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550">
        <w:rPr>
          <w:rFonts w:ascii="Times New Roman" w:hAnsi="Times New Roman"/>
          <w:sz w:val="24"/>
          <w:szCs w:val="24"/>
        </w:rPr>
        <w:t>Exerciţiul</w:t>
      </w:r>
    </w:p>
    <w:p w:rsidR="0023333E" w:rsidRDefault="0023333E" w:rsidP="0023333E">
      <w:pPr>
        <w:pStyle w:val="ListParagraph"/>
        <w:numPr>
          <w:ilvl w:val="0"/>
          <w:numId w:val="1"/>
        </w:numPr>
        <w:tabs>
          <w:tab w:val="left" w:pos="720"/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Jocul didactic </w:t>
      </w:r>
    </w:p>
    <w:p w:rsidR="0023333E" w:rsidRPr="0023333E" w:rsidRDefault="0023333E" w:rsidP="0023333E">
      <w:pPr>
        <w:pStyle w:val="ListParagraph"/>
        <w:numPr>
          <w:ilvl w:val="0"/>
          <w:numId w:val="1"/>
        </w:numPr>
        <w:tabs>
          <w:tab w:val="left" w:pos="720"/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33E">
        <w:rPr>
          <w:rFonts w:ascii="Times New Roman" w:hAnsi="Times New Roman"/>
          <w:sz w:val="24"/>
          <w:szCs w:val="24"/>
        </w:rPr>
        <w:t xml:space="preserve">Problematizarea </w:t>
      </w:r>
    </w:p>
    <w:p w:rsidR="0023333E" w:rsidRPr="0023333E" w:rsidRDefault="00AD15D9" w:rsidP="0023333E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AD15D9">
        <w:rPr>
          <w:sz w:val="28"/>
          <w:szCs w:val="28"/>
          <w:lang w:val="ro-RO"/>
        </w:rPr>
        <w:t>Mijloace de învăţământ:</w:t>
      </w:r>
    </w:p>
    <w:p w:rsidR="001F63B5" w:rsidRPr="001F63B5" w:rsidRDefault="001F63B5" w:rsidP="0023333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t>Legenda lui Moş Nicolae</w:t>
      </w:r>
    </w:p>
    <w:p w:rsidR="0023333E" w:rsidRPr="00D346EB" w:rsidRDefault="00AD15D9" w:rsidP="0023333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23333E">
        <w:rPr>
          <w:sz w:val="28"/>
          <w:szCs w:val="28"/>
          <w:lang w:val="ro-RO"/>
        </w:rPr>
        <w:t xml:space="preserve"> </w:t>
      </w:r>
      <w:r w:rsidR="0023333E" w:rsidRPr="0023333E">
        <w:rPr>
          <w:rFonts w:ascii="Times New Roman" w:hAnsi="Times New Roman"/>
          <w:sz w:val="24"/>
          <w:szCs w:val="24"/>
          <w:lang w:val="ro-RO"/>
        </w:rPr>
        <w:t xml:space="preserve">Produse create de copii din materiale reciclabile </w:t>
      </w:r>
    </w:p>
    <w:p w:rsidR="00D346EB" w:rsidRPr="00D346EB" w:rsidRDefault="00D346EB" w:rsidP="0023333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Cutii de conserve</w:t>
      </w:r>
      <w:r w:rsidR="00D8074C">
        <w:rPr>
          <w:rFonts w:ascii="Times New Roman" w:hAnsi="Times New Roman"/>
          <w:sz w:val="24"/>
          <w:szCs w:val="24"/>
          <w:lang w:val="ro-RO"/>
        </w:rPr>
        <w:t xml:space="preserve"> din tablă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8074C">
        <w:rPr>
          <w:rFonts w:ascii="Times New Roman" w:hAnsi="Times New Roman"/>
          <w:sz w:val="24"/>
          <w:szCs w:val="24"/>
          <w:lang w:val="ro-RO"/>
        </w:rPr>
        <w:t>sau din material plastic, îmbrăcate în sfoară prin tehnica bobinării</w:t>
      </w:r>
    </w:p>
    <w:p w:rsidR="00D346EB" w:rsidRPr="0023333E" w:rsidRDefault="00D346EB" w:rsidP="0023333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Seminţe diferite</w:t>
      </w:r>
      <w:r w:rsidR="00D8074C">
        <w:rPr>
          <w:rFonts w:ascii="Times New Roman" w:hAnsi="Times New Roman"/>
          <w:sz w:val="24"/>
          <w:szCs w:val="24"/>
          <w:lang w:val="ro-RO"/>
        </w:rPr>
        <w:t>, acuarele</w:t>
      </w:r>
      <w:r w:rsidR="001F63B5">
        <w:rPr>
          <w:rFonts w:ascii="Times New Roman" w:hAnsi="Times New Roman"/>
          <w:sz w:val="24"/>
          <w:szCs w:val="24"/>
          <w:lang w:val="ro-RO"/>
        </w:rPr>
        <w:t>, aracet</w:t>
      </w:r>
    </w:p>
    <w:p w:rsidR="00D346EB" w:rsidRPr="001F63B5" w:rsidRDefault="00D346EB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t xml:space="preserve">Săculeţi cu biscuiţi, fursecuri, </w:t>
      </w:r>
      <w:r w:rsidR="00DB5C58" w:rsidRPr="001F63B5">
        <w:rPr>
          <w:rFonts w:ascii="Times New Roman" w:hAnsi="Times New Roman"/>
          <w:sz w:val="24"/>
          <w:szCs w:val="24"/>
          <w:lang w:val="ro-RO"/>
        </w:rPr>
        <w:t xml:space="preserve"> platou cu clătite</w:t>
      </w:r>
    </w:p>
    <w:p w:rsidR="00D346EB" w:rsidRPr="001F63B5" w:rsidRDefault="00D346EB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lastRenderedPageBreak/>
        <w:t>Recipiente cu glazură de ciocolată</w:t>
      </w:r>
    </w:p>
    <w:p w:rsidR="00D346EB" w:rsidRPr="001F63B5" w:rsidRDefault="00D346EB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t>Bonete şi şorţuri de bucătari</w:t>
      </w:r>
    </w:p>
    <w:p w:rsidR="00D346EB" w:rsidRPr="001F63B5" w:rsidRDefault="00D346EB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t>Vase de bucătărie</w:t>
      </w:r>
    </w:p>
    <w:p w:rsidR="00D346EB" w:rsidRDefault="00D346EB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F63B5">
        <w:rPr>
          <w:rFonts w:ascii="Times New Roman" w:hAnsi="Times New Roman"/>
          <w:sz w:val="24"/>
          <w:szCs w:val="24"/>
          <w:lang w:val="ro-RO"/>
        </w:rPr>
        <w:t>Plită electrică sau aragaz</w:t>
      </w:r>
    </w:p>
    <w:p w:rsidR="00FD70E4" w:rsidRPr="001F63B5" w:rsidRDefault="00FD70E4" w:rsidP="00D346E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Produse ce se pot schimba la târg (</w:t>
      </w:r>
      <w:r w:rsidR="00F152E2">
        <w:rPr>
          <w:rFonts w:ascii="Times New Roman" w:hAnsi="Times New Roman"/>
          <w:sz w:val="24"/>
          <w:szCs w:val="24"/>
          <w:lang w:val="ro-RO"/>
        </w:rPr>
        <w:t xml:space="preserve">produse realizate din materiale reciclabile, </w:t>
      </w:r>
      <w:r>
        <w:rPr>
          <w:rFonts w:ascii="Times New Roman" w:hAnsi="Times New Roman"/>
          <w:sz w:val="24"/>
          <w:szCs w:val="24"/>
          <w:lang w:val="ro-RO"/>
        </w:rPr>
        <w:t>borcane cu miere, ouă, mere, făină, trăistuţe de colindat confecţionate de mână, fulare, etc)</w:t>
      </w:r>
    </w:p>
    <w:p w:rsidR="005F738B" w:rsidRPr="005F738B" w:rsidRDefault="005F738B" w:rsidP="0023333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color w:val="000000"/>
        </w:rPr>
        <w:t>Poze realizate la BNR, premierea de la olimpiada de ed.financiară</w:t>
      </w:r>
    </w:p>
    <w:p w:rsidR="00AD15D9" w:rsidRPr="00E83F2D" w:rsidRDefault="005F738B" w:rsidP="00AD15D9">
      <w:pPr>
        <w:pStyle w:val="NoSpacing"/>
        <w:numPr>
          <w:ilvl w:val="0"/>
          <w:numId w:val="2"/>
        </w:numPr>
        <w:spacing w:line="360" w:lineRule="auto"/>
        <w:outlineLvl w:val="0"/>
        <w:rPr>
          <w:sz w:val="28"/>
          <w:szCs w:val="28"/>
          <w:lang w:val="ro-RO"/>
        </w:rPr>
      </w:pPr>
      <w:r w:rsidRPr="00E83F2D">
        <w:rPr>
          <w:rFonts w:ascii="Times New Roman" w:hAnsi="Times New Roman"/>
          <w:sz w:val="24"/>
          <w:szCs w:val="24"/>
          <w:lang w:val="ro-RO"/>
        </w:rPr>
        <w:t>D</w:t>
      </w:r>
      <w:r w:rsidR="0023333E" w:rsidRPr="00E83F2D">
        <w:rPr>
          <w:rFonts w:ascii="Times New Roman" w:hAnsi="Times New Roman"/>
          <w:sz w:val="24"/>
          <w:szCs w:val="24"/>
          <w:lang w:val="ro-RO"/>
        </w:rPr>
        <w:t xml:space="preserve">iplome de la Moş Nicolae </w:t>
      </w:r>
    </w:p>
    <w:p w:rsidR="00AD15D9" w:rsidRPr="00AD15D9" w:rsidRDefault="00E83F2D" w:rsidP="00AD15D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AD15D9" w:rsidRPr="00AD15D9">
        <w:rPr>
          <w:sz w:val="28"/>
          <w:szCs w:val="28"/>
          <w:lang w:val="ro-RO"/>
        </w:rPr>
        <w:t xml:space="preserve">Forme de organizare: </w:t>
      </w:r>
      <w:r w:rsidR="0023333E">
        <w:rPr>
          <w:sz w:val="28"/>
          <w:szCs w:val="28"/>
          <w:lang w:val="ro-RO"/>
        </w:rPr>
        <w:t xml:space="preserve">frontal, individual, pe grupe </w:t>
      </w:r>
    </w:p>
    <w:p w:rsidR="00AD15D9" w:rsidRPr="0023333E" w:rsidRDefault="00AD15D9" w:rsidP="0023333E">
      <w:pPr>
        <w:spacing w:line="276" w:lineRule="auto"/>
      </w:pPr>
      <w:r w:rsidRPr="00AD15D9">
        <w:rPr>
          <w:sz w:val="28"/>
          <w:szCs w:val="28"/>
          <w:lang w:val="ro-RO"/>
        </w:rPr>
        <w:t xml:space="preserve">II. Forme şi tehnici de evaluare: </w:t>
      </w:r>
      <w:r w:rsidR="005F738B">
        <w:rPr>
          <w:sz w:val="28"/>
          <w:szCs w:val="28"/>
          <w:lang w:val="ro-RO"/>
        </w:rPr>
        <w:t>o</w:t>
      </w:r>
      <w:r w:rsidR="0023333E" w:rsidRPr="004C4FC8">
        <w:t>bservarea sistematică</w:t>
      </w:r>
      <w:r w:rsidR="0023333E">
        <w:t>, apreciere verbală</w:t>
      </w:r>
      <w:r w:rsidR="004E0CE8">
        <w:t>, analiza produselor activ</w:t>
      </w:r>
      <w:r w:rsidR="00D8074C">
        <w:t>i</w:t>
      </w:r>
      <w:r w:rsidR="004E0CE8">
        <w:t>tăţii</w:t>
      </w:r>
    </w:p>
    <w:p w:rsidR="00AD15D9" w:rsidRPr="00AD15D9" w:rsidRDefault="00AD15D9" w:rsidP="00AD15D9">
      <w:pPr>
        <w:rPr>
          <w:color w:val="800080"/>
          <w:sz w:val="28"/>
          <w:szCs w:val="28"/>
          <w:lang w:val="ro-RO"/>
        </w:rPr>
      </w:pPr>
    </w:p>
    <w:p w:rsidR="00D8074C" w:rsidRDefault="00AD15D9" w:rsidP="00AD15D9">
      <w:pPr>
        <w:rPr>
          <w:sz w:val="28"/>
          <w:szCs w:val="28"/>
          <w:lang w:val="ro-RO"/>
        </w:rPr>
      </w:pPr>
      <w:r w:rsidRPr="00AD15D9">
        <w:rPr>
          <w:color w:val="800080"/>
          <w:sz w:val="28"/>
          <w:szCs w:val="28"/>
          <w:lang w:val="ro-RO"/>
        </w:rPr>
        <w:t xml:space="preserve"> </w:t>
      </w:r>
      <w:r w:rsidR="00B96F3D">
        <w:rPr>
          <w:sz w:val="28"/>
          <w:szCs w:val="28"/>
          <w:lang w:val="ro-RO"/>
        </w:rPr>
        <w:t>III. Bibliografi</w:t>
      </w:r>
      <w:r w:rsidRPr="00AD15D9">
        <w:rPr>
          <w:sz w:val="28"/>
          <w:szCs w:val="28"/>
          <w:lang w:val="ro-RO"/>
        </w:rPr>
        <w:t>e:</w:t>
      </w:r>
      <w:r w:rsidR="00C5272F">
        <w:rPr>
          <w:sz w:val="28"/>
          <w:szCs w:val="28"/>
          <w:lang w:val="ro-RO"/>
        </w:rPr>
        <w:t xml:space="preserve"> </w:t>
      </w:r>
    </w:p>
    <w:p w:rsidR="00D8074C" w:rsidRPr="00D8074C" w:rsidRDefault="00834888" w:rsidP="00D8074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74C">
        <w:rPr>
          <w:sz w:val="28"/>
          <w:szCs w:val="28"/>
        </w:rPr>
        <w:t>Educaţie financiară prin joc,  Ligia Georgescu- Goloşoiu,  2015, EDITURA EXPLORATOR, Ploie</w:t>
      </w:r>
      <w:r w:rsidR="00F152E2">
        <w:rPr>
          <w:sz w:val="28"/>
          <w:szCs w:val="28"/>
        </w:rPr>
        <w:t>ş</w:t>
      </w:r>
      <w:r w:rsidRPr="00D8074C">
        <w:rPr>
          <w:sz w:val="28"/>
          <w:szCs w:val="28"/>
        </w:rPr>
        <w:t>ti, Prahova</w:t>
      </w:r>
      <w:r w:rsidR="00D8074C" w:rsidRPr="00D8074C">
        <w:rPr>
          <w:sz w:val="28"/>
          <w:szCs w:val="28"/>
        </w:rPr>
        <w:t xml:space="preserve">; </w:t>
      </w:r>
    </w:p>
    <w:p w:rsidR="00AD15D9" w:rsidRPr="00D8074C" w:rsidRDefault="00D346EB" w:rsidP="00D8074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74C">
        <w:rPr>
          <w:sz w:val="28"/>
          <w:szCs w:val="28"/>
        </w:rPr>
        <w:t>site-ul Didactic.ro</w:t>
      </w:r>
    </w:p>
    <w:p w:rsidR="00D8074C" w:rsidRPr="00D8074C" w:rsidRDefault="00D8074C" w:rsidP="00D8074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74C">
        <w:rPr>
          <w:sz w:val="28"/>
          <w:szCs w:val="28"/>
        </w:rPr>
        <w:t>carneţelul cu reţete de prăjituri al bunicii.</w:t>
      </w: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06AFD" w:rsidRPr="00AD15D9" w:rsidRDefault="00AD15D9" w:rsidP="00706AFD">
      <w:pPr>
        <w:jc w:val="center"/>
        <w:outlineLvl w:val="0"/>
        <w:rPr>
          <w:b/>
          <w:color w:val="000000"/>
          <w:sz w:val="40"/>
          <w:szCs w:val="40"/>
          <w:lang w:val="pt-BR"/>
        </w:rPr>
      </w:pPr>
      <w:r w:rsidRPr="00AD15D9">
        <w:rPr>
          <w:b/>
          <w:color w:val="000000"/>
          <w:sz w:val="40"/>
          <w:szCs w:val="40"/>
          <w:lang w:val="pt-BR"/>
        </w:rPr>
        <w:t>S</w:t>
      </w:r>
      <w:r w:rsidR="00706AFD" w:rsidRPr="00AD15D9">
        <w:rPr>
          <w:b/>
          <w:color w:val="000000"/>
          <w:sz w:val="40"/>
          <w:szCs w:val="40"/>
          <w:lang w:val="pt-BR"/>
        </w:rPr>
        <w:t>CENARIU DIDACTIC</w:t>
      </w:r>
    </w:p>
    <w:p w:rsidR="00706AFD" w:rsidRPr="00752A0D" w:rsidRDefault="00706AFD" w:rsidP="00706AFD">
      <w:pPr>
        <w:jc w:val="center"/>
        <w:rPr>
          <w:color w:val="000000"/>
          <w:lang w:val="pt-BR"/>
        </w:rPr>
      </w:pPr>
    </w:p>
    <w:p w:rsidR="00706AFD" w:rsidRPr="00752A0D" w:rsidRDefault="00706AFD" w:rsidP="00706AFD">
      <w:pPr>
        <w:jc w:val="center"/>
        <w:rPr>
          <w:color w:val="000000"/>
          <w:lang w:val="pt-BR"/>
        </w:rPr>
      </w:pPr>
    </w:p>
    <w:tbl>
      <w:tblPr>
        <w:tblW w:w="15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6372"/>
        <w:gridCol w:w="1850"/>
        <w:gridCol w:w="1675"/>
        <w:gridCol w:w="1365"/>
        <w:gridCol w:w="1496"/>
      </w:tblGrid>
      <w:tr w:rsidR="00706AFD" w:rsidTr="00AD15D9">
        <w:trPr>
          <w:trHeight w:val="64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752A0D" w:rsidRDefault="00706AFD" w:rsidP="004735B5">
            <w:pPr>
              <w:snapToGrid w:val="0"/>
              <w:jc w:val="center"/>
              <w:rPr>
                <w:color w:val="000000"/>
                <w:lang w:val="pt-BR"/>
              </w:rPr>
            </w:pPr>
          </w:p>
          <w:p w:rsidR="00706AFD" w:rsidRPr="00752A0D" w:rsidRDefault="00706AFD" w:rsidP="004735B5">
            <w:pPr>
              <w:jc w:val="center"/>
              <w:rPr>
                <w:color w:val="000000"/>
                <w:lang w:val="pt-BR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Etapele</w:t>
            </w: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lecţiei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lastRenderedPageBreak/>
              <w:t>Conţinut informativ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Strategii didactice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jc w:val="center"/>
            </w:pPr>
            <w:r>
              <w:rPr>
                <w:color w:val="000000"/>
                <w:lang w:val="it-IT"/>
              </w:rPr>
              <w:t xml:space="preserve">Evaluare </w:t>
            </w:r>
          </w:p>
        </w:tc>
      </w:tr>
      <w:tr w:rsidR="00706AFD" w:rsidTr="00AD15D9">
        <w:trPr>
          <w:trHeight w:val="74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Metode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Mijloace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Forme de organizare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8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</w:rPr>
            </w:pPr>
            <w:r w:rsidRPr="00AD15D9">
              <w:rPr>
                <w:b/>
                <w:color w:val="000000"/>
                <w:lang w:val="it-IT"/>
              </w:rPr>
              <w:t>1.Moment organizatoric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DB5C58" w:rsidP="003C7436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Elevii clasei pregătitoare aflaţi în laboratorul de gastronomie primesc elevii de clasa a</w:t>
            </w:r>
            <w:r w:rsidR="003C7436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IV-a de la Şcoala Gimnazială “Traian Săvulecu” Izvoarele. Se prezintă laboratorul</w:t>
            </w:r>
            <w:r w:rsidR="003C7436">
              <w:rPr>
                <w:color w:val="000000"/>
                <w:lang w:val="it-IT"/>
              </w:rPr>
              <w:t>. Cele 2 cadre didactice o</w:t>
            </w:r>
            <w:r>
              <w:rPr>
                <w:color w:val="000000"/>
                <w:lang w:val="it-IT"/>
              </w:rPr>
              <w:t>rganiz</w:t>
            </w:r>
            <w:r w:rsidR="003C7436">
              <w:rPr>
                <w:color w:val="000000"/>
                <w:lang w:val="it-IT"/>
              </w:rPr>
              <w:t xml:space="preserve">ează </w:t>
            </w:r>
            <w:r>
              <w:rPr>
                <w:color w:val="000000"/>
                <w:lang w:val="it-IT"/>
              </w:rPr>
              <w:t xml:space="preserve"> spaţiul şi materialel</w:t>
            </w:r>
            <w:r w:rsidR="003C7436">
              <w:rPr>
                <w:color w:val="000000"/>
                <w:lang w:val="it-IT"/>
              </w:rPr>
              <w:t>e</w:t>
            </w:r>
            <w:r>
              <w:rPr>
                <w:color w:val="000000"/>
                <w:lang w:val="it-IT"/>
              </w:rPr>
              <w:t xml:space="preserve"> de lucru</w:t>
            </w:r>
            <w:r w:rsidR="003C7436">
              <w:rPr>
                <w:color w:val="000000"/>
                <w:lang w:val="it-IT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75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AD15D9" w:rsidP="00AD15D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AD15D9">
              <w:rPr>
                <w:b/>
                <w:color w:val="000000"/>
                <w:lang w:val="it-IT"/>
              </w:rPr>
              <w:t>2. Captarea atent</w:t>
            </w:r>
            <w:r w:rsidR="00706AFD" w:rsidRPr="00AD15D9">
              <w:rPr>
                <w:b/>
                <w:color w:val="000000"/>
                <w:lang w:val="it-IT"/>
              </w:rPr>
              <w:t>iei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4E0CE8" w:rsidRDefault="004E0CE8" w:rsidP="004E0CE8">
            <w:pPr>
              <w:tabs>
                <w:tab w:val="left" w:pos="2235"/>
              </w:tabs>
              <w:ind w:firstLine="284"/>
              <w:jc w:val="both"/>
            </w:pPr>
            <w:r>
              <w:t xml:space="preserve">     Legenda lui Moş Nicolae .</w:t>
            </w:r>
          </w:p>
          <w:p w:rsidR="00D346EB" w:rsidRDefault="004E0CE8" w:rsidP="00D34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O formă a generozităţii este cadoul. Darurile nu se oferă întâmplător de</w:t>
            </w:r>
            <w:r w:rsidR="003C7436">
              <w:t xml:space="preserve"> </w:t>
            </w:r>
            <w:r>
              <w:t xml:space="preserve">Moş Nicolae . </w:t>
            </w:r>
            <w:r w:rsidR="00D346EB">
              <w:t xml:space="preserve">Şi noi </w:t>
            </w:r>
            <w:r w:rsidR="003C7436">
              <w:t xml:space="preserve">putem </w:t>
            </w:r>
            <w:r w:rsidR="00D346EB">
              <w:t>dărui aşa cum o face an de an Moş Nicolae .</w:t>
            </w:r>
          </w:p>
          <w:p w:rsidR="00D346EB" w:rsidRDefault="00D346EB" w:rsidP="00D34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Dăruim pentru a exprima ceva, dă</w:t>
            </w:r>
            <w:r w:rsidRPr="00295AB1">
              <w:t xml:space="preserve">ruim pentru a spune </w:t>
            </w:r>
            <w:r>
              <w:t>celor dragi cât de mult îi iubim, cât de mult ne bucură că îi avem alături, mai ales î</w:t>
            </w:r>
            <w:r w:rsidRPr="00295AB1">
              <w:t>n clipele grele.</w:t>
            </w:r>
            <w:r>
              <w:t xml:space="preserve"> </w:t>
            </w:r>
          </w:p>
          <w:p w:rsidR="00706AFD" w:rsidRDefault="00D346EB" w:rsidP="00D346EB">
            <w:pPr>
              <w:tabs>
                <w:tab w:val="left" w:pos="2235"/>
              </w:tabs>
              <w:jc w:val="both"/>
              <w:rPr>
                <w:lang w:val="ro-RO"/>
              </w:rPr>
            </w:pPr>
            <w:r w:rsidRPr="00525349">
              <w:rPr>
                <w:lang w:val="ro-RO"/>
              </w:rPr>
              <w:t xml:space="preserve"> „Dar din dar se face raiul“ </w:t>
            </w:r>
            <w:r>
              <w:rPr>
                <w:lang w:val="ro-RO"/>
              </w:rPr>
              <w:t xml:space="preserve">spune un proverb. </w:t>
            </w:r>
            <w:r w:rsidRPr="00525349">
              <w:rPr>
                <w:lang w:val="ro-RO"/>
              </w:rPr>
              <w:t>De ce face darul raiul? Pentru că darul este expresia absolută a iubirii. Nu există dar fără iubire. Darul autentic ţine numai de iubire.</w:t>
            </w:r>
          </w:p>
          <w:p w:rsidR="003C7436" w:rsidRPr="007F67A1" w:rsidRDefault="00D346EB" w:rsidP="003C7436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lang w:val="ro-RO"/>
              </w:rPr>
              <w:t>Vreţi să arătăm cât de mult ştim noi să iubim?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5F738B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Lectura explicativă</w:t>
            </w: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Conversaţia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4E0CE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Legenda lui Moş Nicolae PPT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4E0CE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frontal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pt-BR"/>
              </w:rPr>
            </w:pPr>
          </w:p>
        </w:tc>
      </w:tr>
      <w:tr w:rsidR="00706AFD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t>3. Anuntarea subiectului</w:t>
            </w: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t>lecţiei noi si a obiectivelor urmarite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3B5" w:rsidRDefault="003C7436" w:rsidP="003C7436">
            <w:pPr>
              <w:tabs>
                <w:tab w:val="left" w:pos="2964"/>
              </w:tabs>
              <w:ind w:firstLine="284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Elevii sunt anunţaţi că vor desfăşura o lecţie împreună cu elevii de clasa a IV-a. Ei au învăţat multe lucruri interesante şi utile la disciplina ed.financiară, au participat şi la olimpiada de ed.financiară, un concurs foarte greu , dar interesant, au câştigat premii şi s-au gândit să ne ajute şi pe noi să înţelegem că e frumos să munceşti, astfel economiseşti bani, cheltuieşti mai </w:t>
            </w:r>
            <w:r w:rsidR="00A34843">
              <w:rPr>
                <w:lang w:val="it-IT"/>
              </w:rPr>
              <w:t>puţin şi poţi dona,</w:t>
            </w:r>
            <w:r>
              <w:rPr>
                <w:lang w:val="it-IT"/>
              </w:rPr>
              <w:t xml:space="preserve"> acum , în pragul sărbătorilor</w:t>
            </w:r>
            <w:r w:rsidR="00A34843">
              <w:rPr>
                <w:lang w:val="it-IT"/>
              </w:rPr>
              <w:t>,</w:t>
            </w:r>
            <w:r>
              <w:rPr>
                <w:lang w:val="it-IT"/>
              </w:rPr>
              <w:t xml:space="preserve">  celor ce n-au, aşa cum a făcut şi face Moş Nicolae.  </w:t>
            </w:r>
          </w:p>
          <w:p w:rsidR="00706AFD" w:rsidRPr="006B322C" w:rsidRDefault="001F63B5" w:rsidP="001F63B5">
            <w:pPr>
              <w:tabs>
                <w:tab w:val="left" w:pos="2964"/>
              </w:tabs>
              <w:ind w:firstLine="284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Elevii vor fi anunţaţi că ambele clase vor realiza produse pe care le vor schimba, respectând valoarea lor, între clase 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</w:rPr>
            </w:pPr>
          </w:p>
          <w:p w:rsidR="005F738B" w:rsidRDefault="005F738B" w:rsidP="004735B5">
            <w:pPr>
              <w:rPr>
                <w:color w:val="000000"/>
              </w:rPr>
            </w:pPr>
          </w:p>
          <w:p w:rsidR="005F738B" w:rsidRPr="00515B27" w:rsidRDefault="005F738B" w:rsidP="004735B5">
            <w:pPr>
              <w:rPr>
                <w:color w:val="000000"/>
              </w:rPr>
            </w:pPr>
            <w:r>
              <w:rPr>
                <w:color w:val="000000"/>
              </w:rPr>
              <w:t>Explicaţia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38B" w:rsidRDefault="005F738B" w:rsidP="004735B5">
            <w:pPr>
              <w:snapToGrid w:val="0"/>
              <w:rPr>
                <w:color w:val="000000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</w:rPr>
            </w:pPr>
          </w:p>
          <w:p w:rsidR="005F738B" w:rsidRDefault="005F738B" w:rsidP="004735B5">
            <w:pPr>
              <w:snapToGrid w:val="0"/>
              <w:rPr>
                <w:color w:val="000000"/>
              </w:rPr>
            </w:pPr>
          </w:p>
          <w:p w:rsidR="00706AFD" w:rsidRPr="00515B27" w:rsidRDefault="005F738B" w:rsidP="004735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Diplome obţinute la concurs, poze de la premiere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</w:rPr>
            </w:pPr>
          </w:p>
          <w:p w:rsidR="005F738B" w:rsidRDefault="005F738B" w:rsidP="004735B5">
            <w:pPr>
              <w:rPr>
                <w:color w:val="000000"/>
              </w:rPr>
            </w:pPr>
          </w:p>
          <w:p w:rsidR="005F738B" w:rsidRDefault="005F738B" w:rsidP="004735B5">
            <w:pPr>
              <w:rPr>
                <w:color w:val="000000"/>
              </w:rPr>
            </w:pPr>
          </w:p>
          <w:p w:rsidR="005F738B" w:rsidRPr="00515B27" w:rsidRDefault="005F738B" w:rsidP="004735B5">
            <w:pPr>
              <w:rPr>
                <w:color w:val="000000"/>
              </w:rPr>
            </w:pPr>
            <w:r>
              <w:rPr>
                <w:color w:val="000000"/>
              </w:rPr>
              <w:t>frontal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Pr="00515B27" w:rsidRDefault="00706AFD" w:rsidP="004735B5">
            <w:pPr>
              <w:snapToGrid w:val="0"/>
              <w:rPr>
                <w:color w:val="000000"/>
              </w:rPr>
            </w:pPr>
          </w:p>
        </w:tc>
      </w:tr>
      <w:tr w:rsidR="00706AFD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</w:rPr>
            </w:pPr>
          </w:p>
          <w:p w:rsidR="00706AFD" w:rsidRDefault="00706AFD" w:rsidP="00AD15D9">
            <w:pPr>
              <w:rPr>
                <w:b/>
                <w:color w:val="000000"/>
              </w:rPr>
            </w:pPr>
            <w:r w:rsidRPr="00AD15D9">
              <w:rPr>
                <w:b/>
                <w:color w:val="000000"/>
              </w:rPr>
              <w:t>4.Dirijarea învăţării</w:t>
            </w: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Default="00D3540F" w:rsidP="00AD15D9">
            <w:pPr>
              <w:rPr>
                <w:b/>
                <w:color w:val="000000"/>
              </w:rPr>
            </w:pPr>
          </w:p>
          <w:p w:rsidR="00D3540F" w:rsidRPr="00AD15D9" w:rsidRDefault="00D3540F" w:rsidP="00AD15D9">
            <w:pPr>
              <w:rPr>
                <w:b/>
                <w:color w:val="000000"/>
              </w:rPr>
            </w:pPr>
          </w:p>
          <w:p w:rsidR="00AD15D9" w:rsidRPr="00AD15D9" w:rsidRDefault="00AD15D9" w:rsidP="00AD15D9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1F63B5" w:rsidP="001F63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lastRenderedPageBreak/>
              <w:t>Elevii, împărţiţi pe grupe, după vâ</w:t>
            </w:r>
            <w:r w:rsidR="00F152E2">
              <w:rPr>
                <w:color w:val="000000"/>
                <w:lang w:val="ro-RO"/>
              </w:rPr>
              <w:t>rstă, vor studia materialele pri</w:t>
            </w:r>
            <w:r>
              <w:rPr>
                <w:color w:val="000000"/>
                <w:lang w:val="ro-RO"/>
              </w:rPr>
              <w:t>mite în cutii d</w:t>
            </w:r>
            <w:r w:rsidR="00F152E2">
              <w:rPr>
                <w:color w:val="000000"/>
                <w:lang w:val="ro-RO"/>
              </w:rPr>
              <w:t xml:space="preserve">eja pregătite. Vor recunoaşte </w:t>
            </w:r>
            <w:r>
              <w:rPr>
                <w:color w:val="000000"/>
                <w:lang w:val="ro-RO"/>
              </w:rPr>
              <w:t xml:space="preserve"> produsele realizate chiar de ei , în ziua precedentă.</w:t>
            </w:r>
          </w:p>
          <w:p w:rsidR="001F63B5" w:rsidRDefault="001F63B5" w:rsidP="001F63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Pe rând vor spune cum au realizat produsele. </w:t>
            </w:r>
            <w:r w:rsidR="00A34843">
              <w:rPr>
                <w:color w:val="000000"/>
                <w:lang w:val="ro-RO"/>
              </w:rPr>
              <w:t xml:space="preserve">Vor găsi </w:t>
            </w:r>
            <w:r w:rsidR="00A34843">
              <w:rPr>
                <w:color w:val="000000"/>
                <w:lang w:val="ro-RO"/>
              </w:rPr>
              <w:lastRenderedPageBreak/>
              <w:t>expresii în care se regăsesc cuvintele „sfoară” „ciocolată”.</w:t>
            </w:r>
          </w:p>
          <w:p w:rsidR="001F63B5" w:rsidRDefault="001F63B5" w:rsidP="001F63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Elevii clasei a IV</w:t>
            </w:r>
            <w:r w:rsidR="00CE7385">
              <w:rPr>
                <w:color w:val="000000"/>
                <w:lang w:val="ro-RO"/>
              </w:rPr>
              <w:t>-a citesc reţete</w:t>
            </w:r>
            <w:r>
              <w:rPr>
                <w:color w:val="000000"/>
                <w:lang w:val="ro-RO"/>
              </w:rPr>
              <w:t xml:space="preserve"> de glazură de ciocolată din carneţelul de reţete de prăjituri al bunicii. Pe calculator, se descoperă reţet</w:t>
            </w:r>
            <w:r w:rsidR="00CE7385">
              <w:rPr>
                <w:color w:val="000000"/>
                <w:lang w:val="ro-RO"/>
              </w:rPr>
              <w:t>e</w:t>
            </w:r>
            <w:r>
              <w:rPr>
                <w:color w:val="000000"/>
                <w:lang w:val="ro-RO"/>
              </w:rPr>
              <w:t xml:space="preserve"> asemănătoare, eventual, se analizează, se compară.</w:t>
            </w:r>
            <w:r w:rsidR="00CE7385">
              <w:rPr>
                <w:color w:val="000000"/>
                <w:lang w:val="ro-RO"/>
              </w:rPr>
              <w:t xml:space="preserve"> Se poate prezenta şi un ppt „ Ciocolata”.</w:t>
            </w:r>
          </w:p>
          <w:p w:rsidR="001F63B5" w:rsidRDefault="001F63B5" w:rsidP="00CE738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Împărţiţi pe ateliere,</w:t>
            </w:r>
            <w:r w:rsidR="00CE7385">
              <w:rPr>
                <w:color w:val="000000"/>
                <w:lang w:val="ro-RO"/>
              </w:rPr>
              <w:t xml:space="preserve"> elevii clasei pregătitoare,</w:t>
            </w:r>
            <w:r>
              <w:rPr>
                <w:color w:val="000000"/>
                <w:lang w:val="ro-RO"/>
              </w:rPr>
              <w:t xml:space="preserve"> îndrumaţi de învăţător vor </w:t>
            </w:r>
            <w:r w:rsidR="00CE7385">
              <w:rPr>
                <w:color w:val="000000"/>
                <w:lang w:val="ro-RO"/>
              </w:rPr>
              <w:t xml:space="preserve">decora ,folosind acuarelele, seminţe, aracet suportul de creioane. În final vor aşeza în el câteva </w:t>
            </w:r>
            <w:r w:rsidR="00A34843">
              <w:rPr>
                <w:color w:val="000000"/>
                <w:lang w:val="ro-RO"/>
              </w:rPr>
              <w:t xml:space="preserve">creioane </w:t>
            </w:r>
            <w:r w:rsidR="00CE7385">
              <w:rPr>
                <w:color w:val="000000"/>
                <w:lang w:val="ro-RO"/>
              </w:rPr>
              <w:t xml:space="preserve"> noi.</w:t>
            </w:r>
          </w:p>
          <w:p w:rsidR="00CE7385" w:rsidRDefault="00CE7385" w:rsidP="00CE738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Elevii clasei a IV-a vor îmbrăca uniforma de cofetar şi vor experimenta tehnica picturii cu ciocolată pe fursecuri, biscuiţi, clătite.</w:t>
            </w:r>
          </w:p>
          <w:p w:rsidR="00CE7385" w:rsidRDefault="00CE7385" w:rsidP="00CE7385">
            <w:pPr>
              <w:spacing w:line="276" w:lineRule="auto"/>
              <w:ind w:left="12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 reamintesc regulile: </w:t>
            </w:r>
          </w:p>
          <w:p w:rsidR="00CE7385" w:rsidRDefault="00CE7385" w:rsidP="00CE7385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 îngirjesc de igiena mâinilor, a vaselor folosite şi a locului de lucru;</w:t>
            </w:r>
          </w:p>
          <w:p w:rsidR="00CE7385" w:rsidRDefault="00CE7385" w:rsidP="00CE7385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nu au voie să mânânce pe parcursul activităţii;</w:t>
            </w:r>
          </w:p>
          <w:p w:rsidR="00CE7385" w:rsidRDefault="00CE7385" w:rsidP="00CE7385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folosesc pentru decora</w:t>
            </w:r>
            <w:r w:rsidR="00E83F2D">
              <w:rPr>
                <w:color w:val="000000"/>
              </w:rPr>
              <w:t>r</w:t>
            </w:r>
            <w:r>
              <w:rPr>
                <w:color w:val="000000"/>
              </w:rPr>
              <w:t>e aparate de decorat sau pungi noi</w:t>
            </w:r>
            <w:r w:rsidR="00E83F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tăiate la colţuri ;</w:t>
            </w:r>
          </w:p>
          <w:p w:rsidR="00CE7385" w:rsidRDefault="00CE7385" w:rsidP="00CE7385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folosesc plita sau aragazul</w:t>
            </w:r>
            <w:r w:rsidR="00E83F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doar supravegheaţi de învăţător;</w:t>
            </w:r>
          </w:p>
          <w:p w:rsidR="00CE7385" w:rsidRDefault="00CE7385" w:rsidP="00CE7385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îşi împart sarcinile de lucru, fără conflicte.</w:t>
            </w:r>
          </w:p>
          <w:p w:rsidR="00CE7385" w:rsidRDefault="00CE7385" w:rsidP="00CE73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 trece la realizarea suporturilor decorative şi a decorării produselor de cofetărie.</w:t>
            </w:r>
          </w:p>
          <w:p w:rsidR="00CE7385" w:rsidRDefault="004244C4" w:rsidP="00CE73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 realizează expoziţii cu produsele realizate. Sunt anunţaţi că pot face schimb de produse între ei.</w:t>
            </w:r>
          </w:p>
          <w:p w:rsidR="004244C4" w:rsidRPr="00E83F2D" w:rsidRDefault="004244C4" w:rsidP="00CE7385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Elevii mari vor explica celor mici că atunci când schimbăm un produs cu altul, de aceeaşi valoare, înseamnă că facem </w:t>
            </w:r>
            <w:r w:rsidRPr="00E83F2D">
              <w:rPr>
                <w:b/>
                <w:color w:val="000000"/>
              </w:rPr>
              <w:t>troc.</w:t>
            </w:r>
          </w:p>
          <w:p w:rsidR="004244C4" w:rsidRDefault="004244C4" w:rsidP="00CE73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 punctează vechimea şi importanţa  acestei activităţi. De ce e bine să facem troc. </w:t>
            </w:r>
          </w:p>
          <w:p w:rsidR="00CE7385" w:rsidRPr="002238C6" w:rsidRDefault="004244C4" w:rsidP="00E83F2D">
            <w:pPr>
              <w:spacing w:line="276" w:lineRule="auto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</w:rPr>
              <w:t xml:space="preserve">Elevii fac trocul. </w:t>
            </w:r>
            <w:r w:rsidR="00E83F2D">
              <w:rPr>
                <w:color w:val="000000"/>
              </w:rPr>
              <w:t>La propunerea elevilor, p</w:t>
            </w:r>
            <w:r>
              <w:rPr>
                <w:color w:val="000000"/>
              </w:rPr>
              <w:t xml:space="preserve">rodusele rămase vor </w:t>
            </w:r>
            <w:r>
              <w:rPr>
                <w:color w:val="000000"/>
              </w:rPr>
              <w:lastRenderedPageBreak/>
              <w:t>fi donate copiilor de la Provita, localitatea Valea Screzii, pe care îi vor vizita, tot împreună</w:t>
            </w:r>
            <w:r w:rsidR="00E83F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în ziua următoare.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F152E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Demonstraţia</w:t>
            </w: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Explicaţia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Cutii cu suporturi de creioane </w:t>
            </w:r>
            <w:r>
              <w:rPr>
                <w:color w:val="000000"/>
                <w:lang w:val="it-IT"/>
              </w:rPr>
              <w:lastRenderedPageBreak/>
              <w:t>realizate din cutii îmbrăcate în sfoară, aracet, acuarele, seminţe</w:t>
            </w: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Uniforme de cofetar,</w:t>
            </w:r>
          </w:p>
          <w:p w:rsidR="005F738B" w:rsidRDefault="005F738B" w:rsidP="005F738B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vase de bucătărie, plite electrice,</w:t>
            </w:r>
          </w:p>
          <w:p w:rsidR="00706AFD" w:rsidRDefault="005F738B" w:rsidP="005F738B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Cutii pt cls a IV-a : fursecuri, biscuiţi, clătite, glazură de ciocolată, aparate de ornat, pungi, etc</w:t>
            </w: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  <w:p w:rsidR="005F738B" w:rsidRDefault="005F738B" w:rsidP="005F738B">
            <w:pPr>
              <w:rPr>
                <w:color w:val="000000"/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D70E4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</w:t>
            </w:r>
          </w:p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D70E4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Individual</w:t>
            </w:r>
          </w:p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D70E4" w:rsidP="004735B5">
            <w:pPr>
              <w:rPr>
                <w:color w:val="000000"/>
                <w:lang w:val="it-IT"/>
              </w:rPr>
            </w:pPr>
          </w:p>
          <w:p w:rsidR="00FD70E4" w:rsidRDefault="00F152E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Activitate </w:t>
            </w:r>
            <w:r w:rsidR="00FD70E4">
              <w:rPr>
                <w:color w:val="000000"/>
                <w:lang w:val="it-IT"/>
              </w:rPr>
              <w:t xml:space="preserve"> pe grupe</w:t>
            </w:r>
            <w:r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F152E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Chestionare orală</w:t>
            </w: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</w:p>
          <w:p w:rsidR="00F152E2" w:rsidRDefault="00F152E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Aprecieri verbale</w:t>
            </w:r>
          </w:p>
        </w:tc>
      </w:tr>
      <w:tr w:rsidR="00706AFD" w:rsidTr="00AD15D9">
        <w:trPr>
          <w:trHeight w:val="1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lastRenderedPageBreak/>
              <w:t>5. Obţinerea performanţei</w:t>
            </w: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4244C4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Fişe de lucru : elevii mici colorează şi decupează, elevii mari calculează, lipesc </w:t>
            </w:r>
            <w:r w:rsidR="00FD70E4">
              <w:rPr>
                <w:color w:val="000000"/>
                <w:lang w:val="it-IT"/>
              </w:rPr>
              <w:t xml:space="preserve">. </w:t>
            </w:r>
          </w:p>
          <w:p w:rsidR="00FD70E4" w:rsidRDefault="00FD70E4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Joc de rol “ La târg ” Vor intra în rol şi câteva persoane adulte, bunici ai elevilor, astfel încât grupa formată să sugereze familia de odinioară. Sarcina de lucru constă în </w:t>
            </w:r>
            <w:r w:rsidR="00E83F2D">
              <w:rPr>
                <w:color w:val="000000"/>
                <w:lang w:val="it-IT"/>
              </w:rPr>
              <w:t xml:space="preserve">realizarea </w:t>
            </w:r>
            <w:r>
              <w:rPr>
                <w:color w:val="000000"/>
                <w:lang w:val="it-IT"/>
              </w:rPr>
              <w:t xml:space="preserve">schimbului de mărfuri . </w:t>
            </w:r>
          </w:p>
          <w:p w:rsidR="00E83F2D" w:rsidRDefault="00E83F2D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Se reaminteşte elevilor mici că au învăţat ce este  trocul.</w:t>
            </w:r>
          </w:p>
          <w:p w:rsidR="00462FAE" w:rsidRDefault="00FD70E4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În final se face evaluarea lecţiei şi a elevilor </w:t>
            </w:r>
            <w:r w:rsidR="00462FAE">
              <w:rPr>
                <w:color w:val="000000"/>
                <w:lang w:val="it-IT"/>
              </w:rPr>
              <w:t>.</w:t>
            </w:r>
          </w:p>
          <w:p w:rsidR="00462FAE" w:rsidRDefault="00462FAE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Învăţătoarea elevilor clasei pregătitoare devine mesagerul elevilor şi citeşte poezia: </w:t>
            </w:r>
          </w:p>
          <w:p w:rsidR="00462FAE" w:rsidRDefault="00462FAE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“Am un platou cu clătite</w:t>
            </w:r>
          </w:p>
          <w:p w:rsidR="00462FAE" w:rsidRDefault="00462FAE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 De la prieteni primite.</w:t>
            </w:r>
          </w:p>
          <w:p w:rsidR="00462FAE" w:rsidRDefault="00462FAE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 Le-am dat în schimb creioane ascuţite</w:t>
            </w:r>
          </w:p>
          <w:p w:rsidR="00462FAE" w:rsidRPr="00462FAE" w:rsidRDefault="00462FAE" w:rsidP="004244C4">
            <w:pPr>
              <w:ind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it-IT"/>
              </w:rPr>
              <w:t xml:space="preserve"> În suporturi rânduite.”</w:t>
            </w:r>
          </w:p>
          <w:p w:rsidR="00FD70E4" w:rsidRDefault="00462FAE" w:rsidP="004244C4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</w:t>
            </w:r>
            <w:r w:rsidR="00FD70E4">
              <w:rPr>
                <w:color w:val="000000"/>
                <w:lang w:val="it-IT"/>
              </w:rPr>
              <w:t>e oferă diplome din parte</w:t>
            </w:r>
            <w:r w:rsidR="00F152E2">
              <w:rPr>
                <w:color w:val="000000"/>
                <w:lang w:val="it-IT"/>
              </w:rPr>
              <w:t>a</w:t>
            </w:r>
            <w:r w:rsidR="00FD70E4">
              <w:rPr>
                <w:color w:val="000000"/>
                <w:lang w:val="it-IT"/>
              </w:rPr>
              <w:t xml:space="preserve"> lui Moş Nicolae.</w:t>
            </w:r>
          </w:p>
          <w:p w:rsidR="00FD70E4" w:rsidRPr="00C40B6A" w:rsidRDefault="00FD70E4" w:rsidP="004244C4">
            <w:pPr>
              <w:ind w:firstLine="284"/>
              <w:jc w:val="both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B37F57" w:rsidRDefault="00706AFD" w:rsidP="004735B5">
            <w:pPr>
              <w:rPr>
                <w:lang w:val="it-IT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B37F57" w:rsidRDefault="00F152E2" w:rsidP="004735B5">
            <w:pPr>
              <w:rPr>
                <w:lang w:val="it-IT"/>
              </w:rPr>
            </w:pPr>
            <w:r>
              <w:rPr>
                <w:lang w:val="it-IT"/>
              </w:rPr>
              <w:t>Fişe de lucru, culori, foarfecă, pastă de lipit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B37F57" w:rsidRDefault="00FD70E4" w:rsidP="004735B5">
            <w:pPr>
              <w:rPr>
                <w:lang w:val="it-IT"/>
              </w:rPr>
            </w:pPr>
            <w:r>
              <w:rPr>
                <w:lang w:val="it-IT"/>
              </w:rPr>
              <w:t>Lucru în echipă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Pr="00B37F57" w:rsidRDefault="00F152E2" w:rsidP="004735B5">
            <w:r>
              <w:t xml:space="preserve">Analiza fişelor de lucru  diferenţiate </w:t>
            </w:r>
          </w:p>
        </w:tc>
      </w:tr>
    </w:tbl>
    <w:p w:rsidR="001B6F60" w:rsidRDefault="004A6284"/>
    <w:sectPr w:rsidR="001B6F60" w:rsidSect="00AD15D9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84" w:rsidRDefault="004A6284" w:rsidP="00F76A12">
      <w:r>
        <w:separator/>
      </w:r>
    </w:p>
  </w:endnote>
  <w:endnote w:type="continuationSeparator" w:id="0">
    <w:p w:rsidR="004A6284" w:rsidRDefault="004A6284" w:rsidP="00F7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F2" w:rsidRDefault="00F76A1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9F2" w:rsidRDefault="004A6284" w:rsidP="00F867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F2" w:rsidRDefault="00F76A1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579">
      <w:rPr>
        <w:rStyle w:val="PageNumber"/>
        <w:noProof/>
      </w:rPr>
      <w:t>2</w:t>
    </w:r>
    <w:r>
      <w:rPr>
        <w:rStyle w:val="PageNumber"/>
      </w:rPr>
      <w:fldChar w:fldCharType="end"/>
    </w:r>
  </w:p>
  <w:p w:rsidR="009709F2" w:rsidRDefault="004A6284" w:rsidP="00F867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84" w:rsidRDefault="004A6284" w:rsidP="00F76A12">
      <w:r>
        <w:separator/>
      </w:r>
    </w:p>
  </w:footnote>
  <w:footnote w:type="continuationSeparator" w:id="0">
    <w:p w:rsidR="004A6284" w:rsidRDefault="004A6284" w:rsidP="00F7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BD14579_"/>
      </v:shape>
    </w:pict>
  </w:numPicBullet>
  <w:numPicBullet w:numPicBulletId="1">
    <w:pict>
      <v:shape id="_x0000_i1029" type="#_x0000_t75" style="width:9.4pt;height:9.4pt" o:bullet="t">
        <v:imagedata r:id="rId2" o:title="BD15277_"/>
      </v:shape>
    </w:pict>
  </w:numPicBullet>
  <w:abstractNum w:abstractNumId="0">
    <w:nsid w:val="014C6F99"/>
    <w:multiLevelType w:val="hybridMultilevel"/>
    <w:tmpl w:val="436C1118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FA2"/>
    <w:multiLevelType w:val="hybridMultilevel"/>
    <w:tmpl w:val="D8E45FC0"/>
    <w:lvl w:ilvl="0" w:tplc="3EA2528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7E31EA3"/>
    <w:multiLevelType w:val="hybridMultilevel"/>
    <w:tmpl w:val="1EF04092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0DFF"/>
    <w:multiLevelType w:val="hybridMultilevel"/>
    <w:tmpl w:val="54304298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B2116"/>
    <w:multiLevelType w:val="hybridMultilevel"/>
    <w:tmpl w:val="E0220382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67B"/>
    <w:multiLevelType w:val="hybridMultilevel"/>
    <w:tmpl w:val="7A883452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B4E3A"/>
    <w:multiLevelType w:val="hybridMultilevel"/>
    <w:tmpl w:val="93A6C20A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0003D"/>
    <w:multiLevelType w:val="hybridMultilevel"/>
    <w:tmpl w:val="BB6CBE82"/>
    <w:lvl w:ilvl="0" w:tplc="3EA25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B6ADD"/>
    <w:multiLevelType w:val="hybridMultilevel"/>
    <w:tmpl w:val="F3244BAC"/>
    <w:lvl w:ilvl="0" w:tplc="58D0B8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AFD"/>
    <w:rsid w:val="00004702"/>
    <w:rsid w:val="00143579"/>
    <w:rsid w:val="001F63B5"/>
    <w:rsid w:val="00203A36"/>
    <w:rsid w:val="0023333E"/>
    <w:rsid w:val="00360F3B"/>
    <w:rsid w:val="003C14A4"/>
    <w:rsid w:val="003C7436"/>
    <w:rsid w:val="004244C4"/>
    <w:rsid w:val="00462FAE"/>
    <w:rsid w:val="004A6284"/>
    <w:rsid w:val="004E0CE8"/>
    <w:rsid w:val="005F738B"/>
    <w:rsid w:val="006D2857"/>
    <w:rsid w:val="00706AFD"/>
    <w:rsid w:val="007F72CF"/>
    <w:rsid w:val="00834888"/>
    <w:rsid w:val="00886857"/>
    <w:rsid w:val="009F6D91"/>
    <w:rsid w:val="00A34843"/>
    <w:rsid w:val="00AC4336"/>
    <w:rsid w:val="00AD15D9"/>
    <w:rsid w:val="00B00F2E"/>
    <w:rsid w:val="00B440DF"/>
    <w:rsid w:val="00B875EA"/>
    <w:rsid w:val="00B96F3D"/>
    <w:rsid w:val="00BB2FE2"/>
    <w:rsid w:val="00BC0BA6"/>
    <w:rsid w:val="00C5272F"/>
    <w:rsid w:val="00CE7385"/>
    <w:rsid w:val="00D346EB"/>
    <w:rsid w:val="00D3540F"/>
    <w:rsid w:val="00D8074C"/>
    <w:rsid w:val="00DB5C58"/>
    <w:rsid w:val="00E524B3"/>
    <w:rsid w:val="00E83F2D"/>
    <w:rsid w:val="00F152E2"/>
    <w:rsid w:val="00F76A12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99"/>
    <w:rsid w:val="00706A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706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AF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rsid w:val="00706AF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D1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D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9"/>
    <w:rPr>
      <w:rFonts w:ascii="Tahoma" w:eastAsia="Times New Roma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33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NoSpacing">
    <w:name w:val="No Spacing"/>
    <w:uiPriority w:val="1"/>
    <w:qFormat/>
    <w:rsid w:val="0023333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DF3E-382C-42BF-99AD-E25C41C2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15</cp:revision>
  <dcterms:created xsi:type="dcterms:W3CDTF">2015-09-30T19:52:00Z</dcterms:created>
  <dcterms:modified xsi:type="dcterms:W3CDTF">2015-11-22T18:00:00Z</dcterms:modified>
</cp:coreProperties>
</file>